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D64" w:rsidRDefault="00711D64" w:rsidP="00711D64">
      <w:pPr>
        <w:overflowPunct w:val="0"/>
        <w:autoSpaceDE w:val="0"/>
        <w:ind w:firstLine="708"/>
        <w:rPr>
          <w:b/>
        </w:rPr>
      </w:pPr>
      <w:bookmarkStart w:id="0" w:name="_GoBack"/>
      <w:bookmarkEnd w:id="0"/>
      <w:r>
        <w:rPr>
          <w:b/>
        </w:rPr>
        <w:t xml:space="preserve">Grzegorz Motyka </w:t>
      </w:r>
    </w:p>
    <w:p w:rsidR="00711D64" w:rsidRDefault="00615B20" w:rsidP="00711D64">
      <w:pPr>
        <w:overflowPunct w:val="0"/>
        <w:autoSpaceDE w:val="0"/>
        <w:ind w:firstLine="708"/>
        <w:rPr>
          <w:b/>
        </w:rPr>
      </w:pPr>
      <w:r>
        <w:rPr>
          <w:b/>
        </w:rPr>
        <w:t>Ukraina/ UPA</w:t>
      </w:r>
      <w:r w:rsidR="00711D64">
        <w:rPr>
          <w:b/>
        </w:rPr>
        <w:t xml:space="preserve"> </w:t>
      </w:r>
    </w:p>
    <w:p w:rsidR="00711D64" w:rsidRDefault="00711D64" w:rsidP="00711D64">
      <w:pPr>
        <w:overflowPunct w:val="0"/>
        <w:autoSpaceDE w:val="0"/>
        <w:ind w:firstLine="708"/>
      </w:pPr>
    </w:p>
    <w:p w:rsidR="005465B4" w:rsidRDefault="005465B4" w:rsidP="005465B4">
      <w:pPr>
        <w:ind w:firstLine="708"/>
      </w:pPr>
      <w:r>
        <w:t xml:space="preserve">Antykomunistyczny opór, jaki objął zachodnie obwody Ukrainy w latach 1944-1954 traktowany jest dziś na Ukrainie coraz częściej jako próba przeciwstawienia się sowieckiej (rosyjskiej) okupacji. Choć powojenna sytuacja na Ukrainie przypomina pod pewnymi względami wojnę domową, gdyż przynajmniej po części był to spór komunistycznej wschodniej części kraju (Ukraińskiej Socjalistycznej Republiki Sowieckiej, w granicach sprzed 17 września 1939 r.) z zachodnią, czującą się spadkobierczynią Zachodnioukraińskiej Republiki Ludowej (istniejącej w latach 1918-1919), to dziś sympatia do niepodległościowych tradycji UPA nie obejmuje już tylko zachodniej części kraju. </w:t>
      </w:r>
    </w:p>
    <w:p w:rsidR="005465B4" w:rsidRDefault="005465B4" w:rsidP="00711D64">
      <w:pPr>
        <w:overflowPunct w:val="0"/>
        <w:autoSpaceDE w:val="0"/>
        <w:ind w:firstLine="708"/>
      </w:pPr>
    </w:p>
    <w:p w:rsidR="00711D64" w:rsidRDefault="00711D64" w:rsidP="00711D64">
      <w:pPr>
        <w:overflowPunct w:val="0"/>
        <w:autoSpaceDE w:val="0"/>
        <w:ind w:firstLine="708"/>
      </w:pPr>
      <w:r>
        <w:t>Decyzja o podjęciu walki partyzanckiej z Sowietami zapadła na III Zjeździe OUN w sierpniu 1943 r. Szansę na sukces widziano w wybuchu III wojny światowej, stąd za sojuszników uważano Wielką Brytanię i Stany Zjednoczone, pew</w:t>
      </w:r>
      <w:r w:rsidR="005465B4">
        <w:t>ne nadzieje pokładano także w</w:t>
      </w:r>
      <w:r>
        <w:t xml:space="preserve"> Turcji</w:t>
      </w:r>
      <w:r w:rsidR="005465B4">
        <w:t xml:space="preserve"> i Szwecji</w:t>
      </w:r>
      <w:r>
        <w:t xml:space="preserve">. Początkowo łudzono się również, że dobrze przygotowane rajdy oddziałów UPA w kierunku Kaukazu i... Helsinek, doprowadzą do szeregu narodowych powstań i oddolnego rozpadu ZSRR. By ułatwić sobie przyszłe kontakty z demokratycznymi państwami zachodu postanowiono zmienić również program organizacji. Do 1943 r. w OUN wyznaniem wiary była ideologia integralnego nacjonalizmu stworzona przez Dmytro Doncowa. Na III Zjeździe zadeklarowano jednak poszanowanie dla podstawowych wartości demokratycznych takich jak wolność słowa czy sumienia. Deklaracje te są często przedstawiane jako ostateczne odejście od skrajnej wersji nacjonalizmu, ale w rzeczywistości był to co najwyżej pierwszy krok w tym kierunku. Jak to ujęto: „Prowadząc pracę wśród ludności powinniśmy udawać demokratów, pozostając w rzeczywistości [dalej] nacjonalistami”. Inna rzecz, iż zwrot ku demokracji z czasem doprowadził faktycznie do pewnej ewolucji poglądów, co zresztą doprowadziło na emigracji do powstania kolejnej frakcji OUN. </w:t>
      </w:r>
    </w:p>
    <w:p w:rsidR="00711D64" w:rsidRDefault="00711D64" w:rsidP="00711D64">
      <w:pPr>
        <w:overflowPunct w:val="0"/>
        <w:autoSpaceDE w:val="0"/>
        <w:ind w:firstLine="708"/>
      </w:pPr>
    </w:p>
    <w:p w:rsidR="00711D64" w:rsidRDefault="00711D64" w:rsidP="00711D64">
      <w:pPr>
        <w:overflowPunct w:val="0"/>
        <w:autoSpaceDE w:val="0"/>
        <w:ind w:firstLine="708"/>
      </w:pPr>
      <w:r>
        <w:t>Na początku 1944  r. UPA  liczyła  około 25 tys. ludzi zgrupowanych w ponad 100 oddziałach partyzanckich. Zaraz po nadejściu Armii Czerwonej ukraińskie oddziały partyzanckie przystąpiły do zakrojonych na szeroką skalę akcji bojowych mających na celu niedopuszczenie do powstania lokalnych władz komunistycznych. Działania te, poparte przez znaczną część ludności, dobitnie pokazywały wolę Ukraińców do życia w niepodległym państwie. Wzywano do bojkotu mobilizacji, rozbijano konwoje z poborowymi, zabijano aktywistów komunistycznych, likwidowano mniejsze oddziały Armii Czerwonej i NKWD. Mnożyły się napady na trasy kolejowe, mosty, stacje kolejowe. 29 lutego 1944 r. w potyczce z UPA został ranny (zmarł z powodu odniesionych ran w kwietniu) dowódca I Frontu Ukraińskiego gen. Nikołaj Watutin.</w:t>
      </w:r>
    </w:p>
    <w:p w:rsidR="00711D64" w:rsidRDefault="00711D64" w:rsidP="00711D64">
      <w:r>
        <w:t>Oddziały UPA nierzadko przyjmowały regularne bitwy z Wojskami Wewnętrznymi NKWD, dezorganizowały sowiecką administrację, na niektórych terenach objętych działalnością podziemia istniała faktyczna dwuwładza.</w:t>
      </w:r>
    </w:p>
    <w:p w:rsidR="00711D64" w:rsidRDefault="00711D64" w:rsidP="00711D64"/>
    <w:p w:rsidR="00711D64" w:rsidRDefault="00711D64" w:rsidP="00711D64">
      <w:pPr>
        <w:overflowPunct w:val="0"/>
        <w:autoSpaceDE w:val="0"/>
        <w:ind w:firstLine="708"/>
      </w:pPr>
      <w:r>
        <w:t xml:space="preserve">Działania te, poparte przez znaczną część miejscowej ludności dobitnie pokazywały wolę Ukraińców do życia w niepodległym państwie. Miały one z jednej strony wzmacniać dążenia narodów ZSRR do samostanowienia, a z drugiej zachęcać aliantów zachodnich do aktywnego przeciwstawienia się komunizmowi. </w:t>
      </w:r>
      <w:r>
        <w:rPr>
          <w:szCs w:val="20"/>
        </w:rPr>
        <w:t>P</w:t>
      </w:r>
      <w:r>
        <w:t xml:space="preserve">rzedstawicieli władzy sowieckiej traktowano jako okupantów, przy czym partyzanci byli przekonani, że walczą nie tylko z komunistami, ale z rosyjskim imperializmem, schowanym jedynie za maską marksistowskiej ideologii. Istnienie narodowościowych kontrowersji potwierdzają także sowieckie dokumenty. Wolę walki dodatkowo wzmacniały powszechne obawy, że władze sowieckie wymordują, lub w najlepszym wypadku deportują wszystkich mieszkańców Ukrainy zachodniej. Przywódcy OUN i UPA byli wręcz  przekonani (a utwierdzało ich w tym doświadczenie Wielkiego Głodu z lat trzydziestych), że w zamierzeniach komunistów Ukraińcy mieli podzielić los Żydów i w związku z tym stali na </w:t>
      </w:r>
      <w:r>
        <w:lastRenderedPageBreak/>
        <w:t>stanowisku, iż lepiej zginąć w boju niż bezczynnie pozwolić się zamordować.</w:t>
      </w:r>
    </w:p>
    <w:p w:rsidR="00711D64" w:rsidRDefault="00711D64" w:rsidP="00711D64">
      <w:pPr>
        <w:overflowPunct w:val="0"/>
        <w:autoSpaceDE w:val="0"/>
        <w:ind w:firstLine="708"/>
      </w:pPr>
    </w:p>
    <w:p w:rsidR="00711D64" w:rsidRDefault="00711D64" w:rsidP="00711D64">
      <w:pPr>
        <w:overflowPunct w:val="0"/>
        <w:autoSpaceDE w:val="0"/>
        <w:ind w:firstLine="708"/>
      </w:pPr>
      <w:r>
        <w:t xml:space="preserve">Na postawę partyzantów ukraińskich duży wpływ miała klęska usiłowań niepodległościowych z lat 1917-1921. Szok spowodowany klęską wywołał w społeczeństwie ukraińskim dyskusję na temat jej przyczyn i następstw. Przyczynę porażki upatrywano w politycznym rozbiciu ukraińskich środowisk politycznych, toczonych przez nich walkach wewnętrznych, wreszcie brakach ideowych czołowych polityków. Wydawało się, iż ideały demokracji za które walczyli uczestnicy rewolucji 1917-1921 r. poniosły klęskę. W rezultacie nastąpił zwrot w stronę ideologii nacjonalistycznej. Trzon OUN-B stanowiła młodzież ukraińska w latach dwudziestych dopiero wchodząca lub zbliżająca się do dorosłego życia. Wychowała się ona w przekonaniu, iż jej misją jest „naprawienie” błędów rodziców i wywalczenie, bez względu na cenę, niepodległego państwa. Ukraińscy nacjonaliści długie lata czekali na moment rozpoczęcia otwartej walki i jak się wydaje w 1944 r. nie widzieli nawet innej możliwości niż zbrojny opór.  </w:t>
      </w:r>
    </w:p>
    <w:p w:rsidR="00711D64" w:rsidRDefault="00711D64" w:rsidP="00711D64">
      <w:pPr>
        <w:ind w:firstLine="708"/>
      </w:pPr>
    </w:p>
    <w:p w:rsidR="00711D64" w:rsidRDefault="00711D64" w:rsidP="00711D64">
      <w:pPr>
        <w:ind w:firstLine="708"/>
      </w:pPr>
      <w:r>
        <w:t xml:space="preserve">Sowieci  przystąpili do zdecydowanej kontrakcji. W każdym rejonie rozmieszczono garnizon w sile do batalionu, a w stolicy obwodu do pułku Wojsk Wewnętrznych NKWD. Łącznie rzucono przeciwko UPA ponad 30 tys. żołnierzy NKWD. W poszczególnych wsiach utworzono podlegające NKWD Istriebitielnyje Bataliony. Jednocześnie rozpoczęto prowadzenie wielkich operacji czyszczących. Wojska Wewnętrzne NKWD od lutego 1944 r.  do  1  stycznia  1946  r. przeprowadziły 39 773 operacje przeciwpartyzanckie.  Zabiły  w nich 103 313 i schwytały 110 785 „bandytów”. Poza tym m. in. aresztowały 8370 „aktywnych członków OUN” i 15959  „aktywnych powstańców”. Większość wymienionych ofiar  stanowiła jednak ludność cywilna, operacjom Wojsk Wewnętrznych towarzyszyły bowiem różnego rodzaju przestępstwa. </w:t>
      </w:r>
    </w:p>
    <w:p w:rsidR="00711D64" w:rsidRDefault="00711D64" w:rsidP="00711D64">
      <w:pPr>
        <w:ind w:firstLine="708"/>
      </w:pPr>
    </w:p>
    <w:p w:rsidR="00711D64" w:rsidRDefault="00711D64" w:rsidP="00711D64">
      <w:pPr>
        <w:overflowPunct w:val="0"/>
        <w:autoSpaceDE w:val="0"/>
      </w:pPr>
      <w:r>
        <w:tab/>
        <w:t xml:space="preserve">Zimą 1945/1946 r. przed planowanymi na 10 luty 1946 r. wyborami do Rady Najwyższej ZSRR komuniści postanowili zadać śmiertelny cios UPA. Zorganizowano tzw. „Wielką Blokadę” w trakcie której cała Ukraina zachodnia po 10 stycznia 1946 r. została pokryta garnizonami żołnierzy ACz i NKWD. Stworzono 3,5 tys. garnizonów. Każdy składał się z około 20-100 żołnierzy i oficerów, dobrze uzbrojonych w broń maszynową. Oprócz tego stworzono szereg oddziałów pościgowych, dysponujących transporterami opancerzonymi i prowadzących nieustanne obławy. „Wielka Blokada” trwała do 1 kwietnia 1946 r. W jej trakcie tylko w zabitych partyzanci stracili 5 tys. ludzi. W tej sytuacji w lipcu 1946 r. kierownictwo ukraińskiego podziemia postanowiło powoli rozformować łatwe do odnalezienia oddziały UPA i cały ciężar dalszej walki przenieść do bojówek OUN. Demobilizację postanowiono prowadzić stopniowo. Najpóźniej zamierzano rozwiązać oddziały w Karpatach, a więc tam gdzie warunki terenowe pozwalały im stosunkowo najłatwiej wytrwać. Mogły one dalej działać jedynie czotami i rojami. Partyzantów zdemobilizowanych z oddziałów zamierzano wcielić do siatki terenowej OUN. </w:t>
      </w:r>
    </w:p>
    <w:p w:rsidR="00711D64" w:rsidRDefault="00711D64" w:rsidP="00711D64">
      <w:pPr>
        <w:overflowPunct w:val="0"/>
        <w:autoSpaceDE w:val="0"/>
      </w:pPr>
      <w:r>
        <w:tab/>
      </w:r>
    </w:p>
    <w:p w:rsidR="00711D64" w:rsidRDefault="00711D64" w:rsidP="005465B4">
      <w:pPr>
        <w:overflowPunct w:val="0"/>
        <w:autoSpaceDE w:val="0"/>
        <w:ind w:firstLine="708"/>
      </w:pPr>
      <w:r>
        <w:t xml:space="preserve">Demobilizację oddziałów UPA prowadzono stopniowo. W 1949 r. w Galicji działały jeszcze dwie sotnie UPA (każda w sile czoty, czyli plutonu), które rozwiązano do końca roku. Jedna z nich przeprowadziła wcześniej propagandowy rajd po Rumunii. Rozwiązywanie oddziałów partyzanckich nie oznaczała zakończenia walki. Największa liczba akcji podziemia polegała na likwidacji aktywistów i sympatyków władzy sowieckiej oraz osób podejrzewanych o współpracę z Sowietami. Nie brakowało jednak zasadzek na małe grupy żołnierzy MWD-MGB i ACz, czy funkcjonariuszy MGB. Częste były napady na IB i kołchozy. </w:t>
      </w:r>
    </w:p>
    <w:p w:rsidR="005465B4" w:rsidRDefault="00711D64" w:rsidP="00711D64">
      <w:pPr>
        <w:overflowPunct w:val="0"/>
        <w:autoSpaceDE w:val="0"/>
      </w:pPr>
      <w:r>
        <w:tab/>
      </w:r>
    </w:p>
    <w:p w:rsidR="00711D64" w:rsidRDefault="00711D64" w:rsidP="005465B4">
      <w:pPr>
        <w:overflowPunct w:val="0"/>
        <w:autoSpaceDE w:val="0"/>
        <w:ind w:firstLine="708"/>
      </w:pPr>
      <w:r>
        <w:t>Aktywność podziemia słabła z każdym rokiem, ale nie oznacza to, że całkowicie zanikła. Liczba akcji z każdym rokiem spadała. W 1947 r. przeprowadzono ich 2068, w 1948 r. już jedynie 1387. Około połowy z nich była najpewniej wymierzona przeciwko kołchozom i aktywistom sowieckim. Tylko w obwodzie stanisławowskim pomiędzy 1 stycznia 1949 r. a 30 kwietnia 1950 r. partyzanci zlikwidowali 20 przewodniczących rad wiejskich, 19 kierowników kołchozów, 30 dzielnicowych pełnomocników milicji. W ciągu pierwszych siedmiu miesięcy 1950 r. w chyba najbardziej „zarażonym bandytyzmem” obwodzie stanisławowskim Sowieci zarejestrowali 144 akcje zbrojne OUN (najwięcej – 30 – w maju). W ich wyniku zginęło 107 aktywistów sowieckich. W analogicznych miesiącach 1951 r. w obwodzie doliczono się już tylko 63 akcji (najwięcej – po 12 – w czerwcu i lipcu), w trakcie których poniosło śmierć 34 aktywistów. Od 1 sierpnia 1951 r. do 15 kwietnia 1952 r. we wszystkich obwodach Ukrainy zachodniej Sowieci zarejestrowali 79 „przejawów bandytyzmu” (najwięcej – 22 – we wrześniu 1951 r.). W pierwszych 10 miesiącach 1953 r. sowieckie organy bezpieczeństwa zarejestrowały już jedynie 29 akcji zbrojnych podziemia. W 1954 r. liczba akcji z bronią w ręku przeprowadzonych przez niedobitki podziemia w zachodnich obwodach Ukrainy spadła do 19 (z czego siedem stanowiły zamachy). Oprócz tego zarejestrowano 29 wypadków rozpowszechniania literatury nacjonalistycznej.</w:t>
      </w:r>
    </w:p>
    <w:p w:rsidR="005465B4" w:rsidRDefault="005465B4" w:rsidP="005465B4">
      <w:pPr>
        <w:overflowPunct w:val="0"/>
        <w:autoSpaceDE w:val="0"/>
        <w:ind w:firstLine="708"/>
      </w:pPr>
    </w:p>
    <w:p w:rsidR="00711D64" w:rsidRDefault="00711D64" w:rsidP="005465B4">
      <w:pPr>
        <w:overflowPunct w:val="0"/>
        <w:autoSpaceDE w:val="0"/>
      </w:pPr>
      <w:r>
        <w:tab/>
        <w:t>Sowieci skrupulatnie badali taktykę stosowana przez UPA, dostosowując do niej swoje działania pościgowe, a jednocześnie wzmagali represje. Za jedną z najbardziej skutecznych metod zwalczania podziemia Sowieci uznawali deportacje w głąb ZSRS rodzin partyzantów lub po prostu osób podejrzewanych o sympatie do podziemia. Pierwsze deportacje miały miejsce już w latach 1944-1945 i były kontynuowane aż do lat pięćdziesiątych. Represje sprawiły, że poparcie dla podziemia zaczęło spadać. Jeden ze schwytanych partyzantów zeznał: „Gdy przychodzimy do domów mieszkańcy oświadczają wprost : &gt;&gt;Idźcie sobie, inaczej przez Was trafimy na Syberię&lt;&lt;”</w:t>
      </w:r>
      <w:r w:rsidR="005465B4">
        <w:t>.</w:t>
      </w:r>
    </w:p>
    <w:p w:rsidR="005465B4" w:rsidRDefault="00711D64" w:rsidP="00711D64">
      <w:r>
        <w:tab/>
      </w:r>
    </w:p>
    <w:p w:rsidR="00711D64" w:rsidRDefault="00711D64" w:rsidP="005465B4">
      <w:pPr>
        <w:ind w:firstLine="708"/>
      </w:pPr>
      <w:r>
        <w:t xml:space="preserve">Największą uwagę Sowieci przykładali do schwytania lub likwidacji kierownictwa OUN-B i UPA. 23 stycznia 1947 r. otoczony w bunkrze zginął wraz ze swoją żoną szef SB OUN M. Arsenycz. W 1949 r. w Gorganach sowiecka grupa operacyjna dopadła i zabiła komendanta galicyjskiej UPA Wasyla Sydora „Szełesta”. 5 marca 1950 r. Sowietom udało się odkryć kryjówkę dowódcy UPA „Tarasa Czuprynki” w Biłohoroszczy pod Lwowem. Po śmierci Szuchewycza dowództwo nad podziemiem przejął płk. Wasyl Kuk „Łemisz”. Aresztowano go razem z żoną 24 maja 1954 r. Oznaczało to kres istnienia podziemia ukraińskiego, jako zorganizowanej struktury. W dalszym ciągu trwały jednak poszukiwania pojedynczych grup i osób próbujących przetrwać w skrajnie niekorzystnej sytuacji. </w:t>
      </w:r>
      <w:r>
        <w:rPr>
          <w:szCs w:val="20"/>
        </w:rPr>
        <w:t>Stopniowo były one wyłapywane lub wybijane przez KGB.</w:t>
      </w:r>
      <w:r>
        <w:t xml:space="preserve"> Ostatnia taka czynna grupa OUN złożona z trzech osób została zniszczona przez KGB w 1960 r. w województwie tarnopolskim. </w:t>
      </w:r>
    </w:p>
    <w:p w:rsidR="005465B4" w:rsidRDefault="005465B4" w:rsidP="005465B4">
      <w:pPr>
        <w:ind w:firstLine="708"/>
      </w:pPr>
    </w:p>
    <w:p w:rsidR="00711D64" w:rsidRDefault="00711D64" w:rsidP="00711D64">
      <w:pPr>
        <w:overflowPunct w:val="0"/>
        <w:autoSpaceDE w:val="0"/>
      </w:pPr>
      <w:r>
        <w:tab/>
        <w:t>Według oficjalnych danych opracowanych w czasach sowieckich podziemie OUN-B i UPA w latach 1944-1951 przeprowadziło 14 424 akcje zbrojne. W ich wyniku Sowieci stracili 30 676 zabitych, z czego 8340 pracowników organów spraw wewnętrznych, żołnierzy wojsk wewnętrznych, pogranicznych i Armii Czerwonej oraz członków IB. Ponad 15 tys. zabitych stanowili cywile – mieszkańcy wsi i kołchozów (część cywilnych ofiar stanowili zapewne ci Polacy, którzy zostali zabici w czasie antypolskich akcji prowadzonych już po przejściu frontu na przełomie 1944-1945 r.). Z kolei w wyniku represji prowadzonych przez Sowietów w celu zwalczenia UPA zabito, aresztowano lub deportowano  od 445 do 500 tys. mieszkańców zachodnich obwodów Ukrainy. Liczba samych zabitych wyniosła 155 108 osób, zaś deportowanych 203 662</w:t>
      </w:r>
      <w:r w:rsidR="005465B4">
        <w:t>. R</w:t>
      </w:r>
      <w:r>
        <w:t>epresje sowieckie towarzyszące zwalczaniu podziemia ogarnęły co dziesiątego mieszkańca Ukrainy zachodniej.</w:t>
      </w:r>
    </w:p>
    <w:p w:rsidR="005465B4" w:rsidRDefault="005465B4" w:rsidP="00711D64"/>
    <w:p w:rsidR="00711D64" w:rsidRDefault="00711D64" w:rsidP="00711D64">
      <w:r>
        <w:tab/>
        <w:t xml:space="preserve">Nie jest prawdziwe twierdzenie, jakoby nacjonaliści byli wyizolowaną grupą społeczną. Przez ukraińskie podziemie przeszło 1-2% populacji Ukrainy zachodniej. Z podobną liczbą zaangażowanych w działalność ruchu oporu spotkamy na Litwie i w wielu innych państwach. Pokazuje to, iż – szczególnie powojenna walka UPA z komunistami – cieszyła ogromnym poparciem społecznym na Wołyniu i w Galicji Wschodniej. Zresztą bez niego podziemie nie byłoby w stanie tak długo trwać w sowieckich warunkach. </w:t>
      </w:r>
    </w:p>
    <w:sectPr w:rsidR="00711D64" w:rsidSect="00EF2C0A">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05B" w:rsidRDefault="0003405B" w:rsidP="00711D64">
      <w:r>
        <w:separator/>
      </w:r>
    </w:p>
  </w:endnote>
  <w:endnote w:type="continuationSeparator" w:id="0">
    <w:p w:rsidR="0003405B" w:rsidRDefault="0003405B" w:rsidP="00711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05B" w:rsidRDefault="0003405B" w:rsidP="00711D64">
      <w:r>
        <w:separator/>
      </w:r>
    </w:p>
  </w:footnote>
  <w:footnote w:type="continuationSeparator" w:id="0">
    <w:p w:rsidR="0003405B" w:rsidRDefault="0003405B" w:rsidP="00711D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D64"/>
    <w:rsid w:val="0003405B"/>
    <w:rsid w:val="001A7116"/>
    <w:rsid w:val="003466FF"/>
    <w:rsid w:val="005465B4"/>
    <w:rsid w:val="00615B20"/>
    <w:rsid w:val="00711D64"/>
    <w:rsid w:val="008F3A38"/>
    <w:rsid w:val="00A13293"/>
    <w:rsid w:val="00CE1C54"/>
    <w:rsid w:val="00D1764E"/>
    <w:rsid w:val="00DE367B"/>
    <w:rsid w:val="00EF2C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11D64"/>
    <w:pPr>
      <w:widowControl w:val="0"/>
      <w:suppressAutoHyphens/>
      <w:spacing w:after="0" w:line="240" w:lineRule="auto"/>
    </w:pPr>
    <w:rPr>
      <w:rFonts w:ascii="Times New Roman" w:eastAsia="SimSun" w:hAnsi="Times New Roman" w:cs="Mangal"/>
      <w:kern w:val="1"/>
      <w:sz w:val="24"/>
      <w:szCs w:val="24"/>
      <w:lang w:eastAsia="hi-I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przypiswdolnych">
    <w:name w:val="Znaki przypisów dolnych"/>
    <w:rsid w:val="00711D64"/>
    <w:rPr>
      <w:vertAlign w:val="superscript"/>
    </w:rPr>
  </w:style>
  <w:style w:type="character" w:customStyle="1" w:styleId="WW-Znakiprzypiswdolnych">
    <w:name w:val="WW-Znaki przypisów dolnych"/>
    <w:rsid w:val="00711D64"/>
  </w:style>
  <w:style w:type="character" w:styleId="Odwoanieprzypisudolnego">
    <w:name w:val="footnote reference"/>
    <w:rsid w:val="00711D64"/>
    <w:rPr>
      <w:vertAlign w:val="superscript"/>
    </w:rPr>
  </w:style>
  <w:style w:type="paragraph" w:styleId="Tekstprzypisudolnego">
    <w:name w:val="footnote text"/>
    <w:basedOn w:val="Normalny"/>
    <w:link w:val="TekstprzypisudolnegoZnak"/>
    <w:rsid w:val="00711D64"/>
    <w:pPr>
      <w:suppressLineNumbers/>
      <w:ind w:left="283" w:hanging="283"/>
    </w:pPr>
    <w:rPr>
      <w:sz w:val="20"/>
      <w:szCs w:val="20"/>
    </w:rPr>
  </w:style>
  <w:style w:type="character" w:customStyle="1" w:styleId="TekstprzypisudolnegoZnak">
    <w:name w:val="Tekst przypisu dolnego Znak"/>
    <w:basedOn w:val="Domylnaczcionkaakapitu"/>
    <w:link w:val="Tekstprzypisudolnego"/>
    <w:rsid w:val="00711D64"/>
    <w:rPr>
      <w:rFonts w:ascii="Times New Roman" w:eastAsia="SimSun" w:hAnsi="Times New Roman" w:cs="Mangal"/>
      <w:kern w:val="1"/>
      <w:sz w:val="20"/>
      <w:szCs w:val="20"/>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11D64"/>
    <w:pPr>
      <w:widowControl w:val="0"/>
      <w:suppressAutoHyphens/>
      <w:spacing w:after="0" w:line="240" w:lineRule="auto"/>
    </w:pPr>
    <w:rPr>
      <w:rFonts w:ascii="Times New Roman" w:eastAsia="SimSun" w:hAnsi="Times New Roman" w:cs="Mangal"/>
      <w:kern w:val="1"/>
      <w:sz w:val="24"/>
      <w:szCs w:val="24"/>
      <w:lang w:eastAsia="hi-I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przypiswdolnych">
    <w:name w:val="Znaki przypisów dolnych"/>
    <w:rsid w:val="00711D64"/>
    <w:rPr>
      <w:vertAlign w:val="superscript"/>
    </w:rPr>
  </w:style>
  <w:style w:type="character" w:customStyle="1" w:styleId="WW-Znakiprzypiswdolnych">
    <w:name w:val="WW-Znaki przypisów dolnych"/>
    <w:rsid w:val="00711D64"/>
  </w:style>
  <w:style w:type="character" w:styleId="Odwoanieprzypisudolnego">
    <w:name w:val="footnote reference"/>
    <w:rsid w:val="00711D64"/>
    <w:rPr>
      <w:vertAlign w:val="superscript"/>
    </w:rPr>
  </w:style>
  <w:style w:type="paragraph" w:styleId="Tekstprzypisudolnego">
    <w:name w:val="footnote text"/>
    <w:basedOn w:val="Normalny"/>
    <w:link w:val="TekstprzypisudolnegoZnak"/>
    <w:rsid w:val="00711D64"/>
    <w:pPr>
      <w:suppressLineNumbers/>
      <w:ind w:left="283" w:hanging="283"/>
    </w:pPr>
    <w:rPr>
      <w:sz w:val="20"/>
      <w:szCs w:val="20"/>
    </w:rPr>
  </w:style>
  <w:style w:type="character" w:customStyle="1" w:styleId="TekstprzypisudolnegoZnak">
    <w:name w:val="Tekst przypisu dolnego Znak"/>
    <w:basedOn w:val="Domylnaczcionkaakapitu"/>
    <w:link w:val="Tekstprzypisudolnego"/>
    <w:rsid w:val="00711D64"/>
    <w:rPr>
      <w:rFonts w:ascii="Times New Roman" w:eastAsia="SimSun" w:hAnsi="Times New Roman" w:cs="Mangal"/>
      <w:kern w:val="1"/>
      <w:sz w:val="20"/>
      <w:szCs w:val="20"/>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1704</Words>
  <Characters>10227</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Urszula Dragan</cp:lastModifiedBy>
  <cp:revision>2</cp:revision>
  <dcterms:created xsi:type="dcterms:W3CDTF">2017-03-13T13:24:00Z</dcterms:created>
  <dcterms:modified xsi:type="dcterms:W3CDTF">2017-03-13T13:24:00Z</dcterms:modified>
</cp:coreProperties>
</file>